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91E77" w14:textId="77777777" w:rsidR="0096490F" w:rsidRDefault="0096490F">
      <w:pPr>
        <w:spacing w:line="576" w:lineRule="exact"/>
        <w:ind w:firstLineChars="200" w:firstLine="640"/>
        <w:jc w:val="center"/>
        <w:rPr>
          <w:rFonts w:ascii="Times New Roman" w:eastAsia="等线" w:hAnsi="Times New Roman" w:cs="Times New Roman"/>
          <w:b/>
          <w:bCs/>
          <w:sz w:val="32"/>
          <w:szCs w:val="32"/>
        </w:rPr>
      </w:pPr>
    </w:p>
    <w:p w14:paraId="48C294FF" w14:textId="77777777" w:rsidR="0096490F" w:rsidRDefault="00000000">
      <w:pPr>
        <w:spacing w:line="576" w:lineRule="exact"/>
        <w:jc w:val="center"/>
        <w:rPr>
          <w:rFonts w:ascii="Times New Roman" w:eastAsia="等线" w:hAnsi="Times New Roman" w:cs="Times New Roman"/>
          <w:b/>
          <w:bCs/>
          <w:sz w:val="32"/>
          <w:szCs w:val="32"/>
        </w:rPr>
      </w:pPr>
      <w:r>
        <w:rPr>
          <w:rFonts w:ascii="Times New Roman" w:eastAsia="等线" w:hAnsi="Times New Roman" w:cs="Times New Roman"/>
          <w:b/>
          <w:bCs/>
          <w:sz w:val="32"/>
          <w:szCs w:val="32"/>
        </w:rPr>
        <w:t>长春市九台区水利局</w:t>
      </w:r>
      <w:r>
        <w:rPr>
          <w:rFonts w:ascii="Times New Roman" w:eastAsia="等线" w:hAnsi="Times New Roman" w:cs="Times New Roman"/>
          <w:b/>
          <w:bCs/>
          <w:sz w:val="32"/>
          <w:szCs w:val="32"/>
        </w:rPr>
        <w:t xml:space="preserve"> </w:t>
      </w:r>
    </w:p>
    <w:p w14:paraId="6BDAC556" w14:textId="77777777" w:rsidR="0096490F" w:rsidRDefault="00000000">
      <w:pPr>
        <w:spacing w:line="576" w:lineRule="exact"/>
        <w:jc w:val="center"/>
        <w:rPr>
          <w:rFonts w:ascii="Times New Roman" w:eastAsia="等线" w:hAnsi="Times New Roman" w:cs="Times New Roman"/>
          <w:b/>
          <w:bCs/>
          <w:sz w:val="32"/>
          <w:szCs w:val="32"/>
        </w:rPr>
      </w:pPr>
      <w:r>
        <w:rPr>
          <w:rFonts w:ascii="Times New Roman" w:eastAsia="等线" w:hAnsi="Times New Roman" w:cs="Times New Roman"/>
          <w:b/>
          <w:bCs/>
          <w:sz w:val="32"/>
          <w:szCs w:val="32"/>
        </w:rPr>
        <w:t xml:space="preserve">2022 </w:t>
      </w:r>
      <w:r>
        <w:rPr>
          <w:rFonts w:ascii="Times New Roman" w:eastAsia="等线" w:hAnsi="Times New Roman" w:cs="Times New Roman"/>
          <w:b/>
          <w:bCs/>
          <w:sz w:val="32"/>
          <w:szCs w:val="32"/>
        </w:rPr>
        <w:t>年度部门整体支出</w:t>
      </w:r>
    </w:p>
    <w:p w14:paraId="42D1781E" w14:textId="77777777" w:rsidR="0096490F" w:rsidRDefault="00000000">
      <w:pPr>
        <w:spacing w:beforeLines="100" w:before="312" w:line="576"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绩效评价报告摘要</w:t>
      </w:r>
    </w:p>
    <w:p w14:paraId="78F9E4BF" w14:textId="77777777" w:rsidR="0096490F" w:rsidRDefault="0096490F">
      <w:pPr>
        <w:rPr>
          <w:rFonts w:ascii="Times New Roman" w:hAnsi="Times New Roman" w:cs="Times New Roman"/>
        </w:rPr>
      </w:pPr>
    </w:p>
    <w:p w14:paraId="25C96907" w14:textId="77777777" w:rsidR="0096490F" w:rsidRDefault="00000000">
      <w:pPr>
        <w:spacing w:line="576"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w:t>
      </w:r>
      <w:r>
        <w:rPr>
          <w:rFonts w:ascii="Times New Roman" w:eastAsia="黑体" w:hAnsi="Times New Roman" w:cs="Times New Roman"/>
          <w:sz w:val="32"/>
          <w:szCs w:val="32"/>
        </w:rPr>
        <w:t xml:space="preserve">2022 </w:t>
      </w:r>
      <w:r>
        <w:rPr>
          <w:rFonts w:ascii="Times New Roman" w:eastAsia="黑体" w:hAnsi="Times New Roman" w:cs="Times New Roman"/>
          <w:sz w:val="32"/>
          <w:szCs w:val="32"/>
        </w:rPr>
        <w:t>年度部门整体支出资金投入及支出情况</w:t>
      </w:r>
    </w:p>
    <w:p w14:paraId="3ACEEBEA" w14:textId="77777777" w:rsidR="0096490F" w:rsidRDefault="00000000">
      <w:pPr>
        <w:spacing w:line="576"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长春市九台区水利局</w:t>
      </w:r>
      <w:r>
        <w:rPr>
          <w:rFonts w:ascii="Times New Roman" w:eastAsia="仿宋_GB2312" w:hAnsi="Times New Roman" w:cs="Times New Roman"/>
          <w:sz w:val="32"/>
          <w:szCs w:val="32"/>
        </w:rPr>
        <w:t xml:space="preserve">2022 </w:t>
      </w:r>
      <w:r>
        <w:rPr>
          <w:rFonts w:ascii="Times New Roman" w:eastAsia="仿宋_GB2312" w:hAnsi="Times New Roman" w:cs="Times New Roman"/>
          <w:sz w:val="32"/>
          <w:szCs w:val="32"/>
        </w:rPr>
        <w:t>年度部门整体支出年初预算资金</w:t>
      </w:r>
      <w:r>
        <w:rPr>
          <w:rFonts w:ascii="Times New Roman" w:eastAsia="仿宋_GB2312" w:hAnsi="Times New Roman" w:cs="Times New Roman"/>
          <w:sz w:val="32"/>
          <w:szCs w:val="32"/>
        </w:rPr>
        <w:t>2889</w:t>
      </w:r>
      <w:r>
        <w:rPr>
          <w:rFonts w:ascii="Times New Roman" w:eastAsia="仿宋_GB2312" w:hAnsi="Times New Roman" w:cs="Times New Roman"/>
          <w:sz w:val="32"/>
          <w:szCs w:val="32"/>
        </w:rPr>
        <w:t>万元。截至</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sz w:val="32"/>
          <w:szCs w:val="32"/>
        </w:rPr>
        <w:t>日，实际财政拨款收入</w:t>
      </w:r>
      <w:r>
        <w:rPr>
          <w:rFonts w:ascii="Times New Roman" w:eastAsia="仿宋_GB2312" w:hAnsi="Times New Roman" w:cs="Times New Roman"/>
          <w:sz w:val="32"/>
          <w:szCs w:val="32"/>
        </w:rPr>
        <w:t>4489.82</w:t>
      </w:r>
      <w:r>
        <w:rPr>
          <w:rFonts w:ascii="Times New Roman" w:eastAsia="仿宋_GB2312" w:hAnsi="Times New Roman" w:cs="Times New Roman"/>
          <w:sz w:val="32"/>
          <w:szCs w:val="32"/>
        </w:rPr>
        <w:t>万元，实际支出</w:t>
      </w:r>
      <w:r>
        <w:rPr>
          <w:rFonts w:ascii="Times New Roman" w:eastAsia="仿宋_GB2312" w:hAnsi="Times New Roman" w:cs="Times New Roman"/>
          <w:sz w:val="32"/>
          <w:szCs w:val="32"/>
        </w:rPr>
        <w:t>4489.21</w:t>
      </w:r>
      <w:r>
        <w:rPr>
          <w:rFonts w:ascii="Times New Roman" w:eastAsia="仿宋_GB2312" w:hAnsi="Times New Roman" w:cs="Times New Roman"/>
          <w:sz w:val="32"/>
          <w:szCs w:val="32"/>
        </w:rPr>
        <w:t>万元，执行率为</w:t>
      </w:r>
      <w:r>
        <w:rPr>
          <w:rFonts w:ascii="Times New Roman" w:eastAsia="仿宋_GB2312" w:hAnsi="Times New Roman" w:cs="Times New Roman"/>
          <w:sz w:val="32"/>
          <w:szCs w:val="32"/>
        </w:rPr>
        <w:t>99.99%</w:t>
      </w:r>
      <w:r>
        <w:rPr>
          <w:rFonts w:ascii="Times New Roman" w:eastAsia="仿宋_GB2312" w:hAnsi="Times New Roman" w:cs="Times New Roman"/>
          <w:sz w:val="32"/>
          <w:szCs w:val="32"/>
        </w:rPr>
        <w:t>。</w:t>
      </w:r>
    </w:p>
    <w:p w14:paraId="2F3D3697" w14:textId="77777777" w:rsidR="0096490F" w:rsidRDefault="00000000">
      <w:pPr>
        <w:spacing w:line="576"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二、评价结论</w:t>
      </w:r>
    </w:p>
    <w:p w14:paraId="5A641CBD" w14:textId="77777777" w:rsidR="0096490F" w:rsidRDefault="00000000">
      <w:pPr>
        <w:spacing w:line="576" w:lineRule="exact"/>
        <w:ind w:firstLineChars="200" w:firstLine="640"/>
        <w:rPr>
          <w:rFonts w:ascii="Times New Roman" w:eastAsia="仿宋_GB2312" w:hAnsi="Times New Roman" w:cs="Times New Roman"/>
          <w:color w:val="000000"/>
          <w:kern w:val="0"/>
          <w:sz w:val="32"/>
          <w:szCs w:val="22"/>
        </w:rPr>
      </w:pPr>
      <w:r>
        <w:rPr>
          <w:rFonts w:ascii="Times New Roman" w:eastAsia="仿宋_GB2312" w:hAnsi="Times New Roman" w:cs="Times New Roman"/>
          <w:color w:val="000000"/>
          <w:kern w:val="0"/>
          <w:sz w:val="32"/>
          <w:szCs w:val="22"/>
        </w:rPr>
        <w:t>长春市九台区水利局部门整体支出绩效评价得分</w:t>
      </w:r>
      <w:r>
        <w:rPr>
          <w:rFonts w:ascii="Times New Roman" w:eastAsia="仿宋_GB2312" w:hAnsi="Times New Roman" w:cs="Times New Roman"/>
          <w:color w:val="000000"/>
          <w:kern w:val="0"/>
          <w:sz w:val="32"/>
          <w:szCs w:val="22"/>
        </w:rPr>
        <w:t>82.99</w:t>
      </w:r>
      <w:r>
        <w:rPr>
          <w:rFonts w:ascii="Times New Roman" w:eastAsia="仿宋_GB2312" w:hAnsi="Times New Roman" w:cs="Times New Roman"/>
          <w:color w:val="000000"/>
          <w:kern w:val="0"/>
          <w:sz w:val="32"/>
          <w:szCs w:val="22"/>
        </w:rPr>
        <w:t>分，绩效评价结果为</w:t>
      </w:r>
      <w:r>
        <w:rPr>
          <w:rFonts w:ascii="Times New Roman" w:eastAsia="仿宋_GB2312" w:hAnsi="Times New Roman" w:cs="Times New Roman"/>
          <w:color w:val="000000"/>
          <w:kern w:val="0"/>
          <w:sz w:val="32"/>
          <w:szCs w:val="22"/>
        </w:rPr>
        <w:t>“</w:t>
      </w:r>
      <w:r>
        <w:rPr>
          <w:rFonts w:ascii="Times New Roman" w:eastAsia="仿宋_GB2312" w:hAnsi="Times New Roman" w:cs="Times New Roman"/>
          <w:color w:val="000000"/>
          <w:kern w:val="0"/>
          <w:sz w:val="32"/>
          <w:szCs w:val="22"/>
        </w:rPr>
        <w:t>良</w:t>
      </w:r>
      <w:r>
        <w:rPr>
          <w:rFonts w:ascii="Times New Roman" w:eastAsia="仿宋_GB2312" w:hAnsi="Times New Roman" w:cs="Times New Roman"/>
          <w:color w:val="000000"/>
          <w:kern w:val="0"/>
          <w:sz w:val="32"/>
          <w:szCs w:val="22"/>
        </w:rPr>
        <w:t>”</w:t>
      </w:r>
      <w:r>
        <w:rPr>
          <w:rFonts w:ascii="Times New Roman" w:eastAsia="仿宋_GB2312" w:hAnsi="Times New Roman" w:cs="Times New Roman"/>
          <w:color w:val="000000"/>
          <w:kern w:val="0"/>
          <w:sz w:val="32"/>
          <w:szCs w:val="22"/>
        </w:rPr>
        <w:t>。</w:t>
      </w:r>
    </w:p>
    <w:p w14:paraId="4DAF6F5A" w14:textId="77777777" w:rsidR="0096490F" w:rsidRDefault="00000000">
      <w:pPr>
        <w:spacing w:line="576"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主要绩效有：建设大中小相结合、蓄引提排相配套的水利工程体系。灌溉成本明显下降，农民水费支出减少，节约了用水量提高了用水率。改善了灌区生产生活条件和产业结构；九台区水库移民后期扶持力度显著增强；落实直补资金发放，建立移民档案动态管理；春灌工作圆满完成，为农业丰收提供有力保障；扎实推进河长制，水生态得到有效改善；通过实施的河道整治项目，显著提高了河道的防洪能力。</w:t>
      </w:r>
    </w:p>
    <w:p w14:paraId="5E4FB0BA" w14:textId="77777777" w:rsidR="0096490F" w:rsidRDefault="00000000">
      <w:pPr>
        <w:numPr>
          <w:ilvl w:val="0"/>
          <w:numId w:val="1"/>
        </w:numPr>
        <w:spacing w:line="576" w:lineRule="exact"/>
        <w:ind w:firstLineChars="200" w:firstLine="640"/>
        <w:rPr>
          <w:rFonts w:ascii="Times New Roman" w:eastAsia="仿宋_GB2312" w:hAnsi="Times New Roman" w:cs="Times New Roman"/>
          <w:sz w:val="32"/>
          <w:szCs w:val="32"/>
        </w:rPr>
      </w:pPr>
      <w:r>
        <w:rPr>
          <w:rFonts w:ascii="Times New Roman" w:eastAsia="黑体" w:hAnsi="Times New Roman" w:cs="Times New Roman"/>
          <w:sz w:val="32"/>
          <w:szCs w:val="32"/>
        </w:rPr>
        <w:t>存在问题及原因</w:t>
      </w:r>
    </w:p>
    <w:p w14:paraId="323BB207" w14:textId="77777777" w:rsidR="0096490F" w:rsidRDefault="00000000">
      <w:pPr>
        <w:spacing w:line="576" w:lineRule="exact"/>
        <w:ind w:firstLineChars="200" w:firstLine="640"/>
        <w:rPr>
          <w:rFonts w:ascii="Times New Roman" w:eastAsia="仿宋_GB2312" w:hAnsi="Times New Roman" w:cs="Times New Roman"/>
          <w:kern w:val="0"/>
          <w:sz w:val="32"/>
          <w:szCs w:val="22"/>
        </w:rPr>
      </w:pPr>
      <w:r>
        <w:rPr>
          <w:rFonts w:ascii="Times New Roman" w:eastAsia="仿宋_GB2312" w:hAnsi="Times New Roman" w:cs="Times New Roman"/>
          <w:sz w:val="32"/>
          <w:szCs w:val="32"/>
        </w:rPr>
        <w:t>一是水利局制度的</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年度工作任务的责任主体不明确；二是部门整体支出绩效目标不够详细充实，部分质量指标、时效指标可衡量性不强。例如</w:t>
      </w:r>
      <w:r>
        <w:rPr>
          <w:rFonts w:ascii="Times New Roman" w:eastAsia="仿宋_GB2312" w:hAnsi="Times New Roman" w:cs="Times New Roman"/>
          <w:kern w:val="0"/>
          <w:sz w:val="32"/>
          <w:szCs w:val="22"/>
        </w:rPr>
        <w:t>质量指标的目标值为</w:t>
      </w:r>
      <w:r>
        <w:rPr>
          <w:rFonts w:ascii="Times New Roman" w:eastAsia="仿宋_GB2312" w:hAnsi="Times New Roman" w:cs="Times New Roman"/>
          <w:kern w:val="0"/>
          <w:sz w:val="32"/>
          <w:szCs w:val="22"/>
        </w:rPr>
        <w:t>0</w:t>
      </w:r>
      <w:r>
        <w:rPr>
          <w:rFonts w:ascii="Times New Roman" w:eastAsia="仿宋_GB2312" w:hAnsi="Times New Roman" w:cs="Times New Roman"/>
          <w:kern w:val="0"/>
          <w:sz w:val="32"/>
          <w:szCs w:val="22"/>
        </w:rPr>
        <w:t>件，没有任何意义</w:t>
      </w:r>
      <w:r>
        <w:rPr>
          <w:rFonts w:ascii="Times New Roman" w:eastAsia="仿宋_GB2312" w:hAnsi="Times New Roman" w:cs="Times New Roman"/>
          <w:sz w:val="32"/>
          <w:szCs w:val="32"/>
        </w:rPr>
        <w:t>。</w:t>
      </w:r>
      <w:r>
        <w:rPr>
          <w:rFonts w:ascii="Times New Roman" w:eastAsia="仿宋_GB2312" w:hAnsi="Times New Roman" w:cs="Times New Roman"/>
          <w:kern w:val="0"/>
          <w:sz w:val="32"/>
          <w:szCs w:val="22"/>
        </w:rPr>
        <w:t>个别绩效目标值设置不切合实际。</w:t>
      </w:r>
      <w:r>
        <w:rPr>
          <w:rFonts w:ascii="Times New Roman" w:eastAsia="仿宋_GB2312" w:hAnsi="Times New Roman" w:cs="Times New Roman"/>
          <w:sz w:val="32"/>
          <w:szCs w:val="32"/>
        </w:rPr>
        <w:t>预期产出</w:t>
      </w:r>
      <w:r>
        <w:rPr>
          <w:rFonts w:ascii="Times New Roman" w:eastAsia="仿宋_GB2312" w:hAnsi="Times New Roman" w:cs="Times New Roman"/>
          <w:sz w:val="32"/>
          <w:szCs w:val="32"/>
        </w:rPr>
        <w:lastRenderedPageBreak/>
        <w:t>效益和效果不符合正常的业绩水平</w:t>
      </w:r>
      <w:r>
        <w:rPr>
          <w:rFonts w:ascii="Times New Roman" w:eastAsia="仿宋_GB2312" w:hAnsi="Times New Roman" w:cs="Times New Roman"/>
          <w:kern w:val="0"/>
          <w:sz w:val="32"/>
          <w:szCs w:val="22"/>
        </w:rPr>
        <w:t>；三是部门预算编制不能适应年度工作任务安排。预算外追加数额较大，预算调整率较高。区水利局</w:t>
      </w:r>
      <w:r>
        <w:rPr>
          <w:rFonts w:ascii="Times New Roman" w:eastAsia="仿宋_GB2312" w:hAnsi="Times New Roman" w:cs="Times New Roman"/>
          <w:kern w:val="0"/>
          <w:sz w:val="32"/>
          <w:szCs w:val="22"/>
        </w:rPr>
        <w:t>2022</w:t>
      </w:r>
      <w:r>
        <w:rPr>
          <w:rFonts w:ascii="Times New Roman" w:eastAsia="仿宋_GB2312" w:hAnsi="Times New Roman" w:cs="Times New Roman"/>
          <w:kern w:val="0"/>
          <w:sz w:val="32"/>
          <w:szCs w:val="22"/>
        </w:rPr>
        <w:t>年度预算支出</w:t>
      </w:r>
      <w:r>
        <w:rPr>
          <w:rFonts w:ascii="Times New Roman" w:eastAsia="仿宋_GB2312" w:hAnsi="Times New Roman" w:cs="Times New Roman"/>
          <w:kern w:val="0"/>
          <w:sz w:val="32"/>
          <w:szCs w:val="22"/>
        </w:rPr>
        <w:t>2889</w:t>
      </w:r>
      <w:r>
        <w:rPr>
          <w:rFonts w:ascii="Times New Roman" w:eastAsia="仿宋_GB2312" w:hAnsi="Times New Roman" w:cs="Times New Roman"/>
          <w:kern w:val="0"/>
          <w:sz w:val="32"/>
          <w:szCs w:val="22"/>
        </w:rPr>
        <w:t>万元，实际决算支出</w:t>
      </w:r>
      <w:r>
        <w:rPr>
          <w:rFonts w:ascii="Times New Roman" w:eastAsia="仿宋_GB2312" w:hAnsi="Times New Roman" w:cs="Times New Roman"/>
          <w:kern w:val="0"/>
          <w:sz w:val="32"/>
          <w:szCs w:val="22"/>
        </w:rPr>
        <w:t>4508.24</w:t>
      </w:r>
      <w:r>
        <w:rPr>
          <w:rFonts w:ascii="Times New Roman" w:eastAsia="仿宋_GB2312" w:hAnsi="Times New Roman" w:cs="Times New Roman"/>
          <w:kern w:val="0"/>
          <w:sz w:val="32"/>
          <w:szCs w:val="22"/>
        </w:rPr>
        <w:t>万元。预算资金额度与年度工作任务不匹配。</w:t>
      </w:r>
    </w:p>
    <w:p w14:paraId="372983F2" w14:textId="77777777" w:rsidR="0096490F" w:rsidRDefault="00000000">
      <w:pPr>
        <w:spacing w:line="576"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四、有关建议</w:t>
      </w:r>
    </w:p>
    <w:p w14:paraId="4EB7A6BE" w14:textId="77777777" w:rsidR="0096490F" w:rsidRDefault="00000000">
      <w:pPr>
        <w:widowControl/>
        <w:topLinePunct/>
        <w:adjustRightInd w:val="0"/>
        <w:snapToGrid w:val="0"/>
        <w:spacing w:line="576" w:lineRule="exact"/>
        <w:ind w:firstLineChars="200" w:firstLine="640"/>
        <w:textAlignment w:val="baseline"/>
        <w:rPr>
          <w:rFonts w:ascii="Times New Roman" w:eastAsia="仿宋_GB2312" w:hAnsi="Times New Roman" w:cs="Times New Roman"/>
          <w:kern w:val="0"/>
          <w:sz w:val="32"/>
          <w:szCs w:val="22"/>
        </w:rPr>
      </w:pPr>
      <w:r>
        <w:rPr>
          <w:rFonts w:ascii="Times New Roman" w:eastAsia="仿宋_GB2312" w:hAnsi="Times New Roman" w:cs="Times New Roman"/>
          <w:kern w:val="0"/>
          <w:sz w:val="32"/>
          <w:szCs w:val="22"/>
        </w:rPr>
        <w:t>1</w:t>
      </w:r>
      <w:r>
        <w:rPr>
          <w:rFonts w:ascii="Times New Roman" w:eastAsia="仿宋_GB2312" w:hAnsi="Times New Roman" w:cs="Times New Roman"/>
          <w:kern w:val="0"/>
          <w:sz w:val="32"/>
          <w:szCs w:val="22"/>
        </w:rPr>
        <w:t>、制定明确的年度工作计划。</w:t>
      </w:r>
    </w:p>
    <w:p w14:paraId="768499F7" w14:textId="77777777" w:rsidR="0096490F" w:rsidRDefault="00000000">
      <w:pPr>
        <w:widowControl/>
        <w:topLinePunct/>
        <w:adjustRightInd w:val="0"/>
        <w:snapToGrid w:val="0"/>
        <w:spacing w:line="576" w:lineRule="exact"/>
        <w:ind w:firstLineChars="200" w:firstLine="640"/>
        <w:textAlignment w:val="baseline"/>
        <w:rPr>
          <w:rFonts w:ascii="Times New Roman" w:eastAsia="仿宋_GB2312" w:hAnsi="Times New Roman" w:cs="Times New Roman"/>
          <w:kern w:val="0"/>
          <w:sz w:val="32"/>
          <w:szCs w:val="22"/>
        </w:rPr>
      </w:pPr>
      <w:r>
        <w:rPr>
          <w:rFonts w:ascii="Times New Roman" w:eastAsia="仿宋_GB2312" w:hAnsi="Times New Roman" w:cs="Times New Roman"/>
          <w:kern w:val="0"/>
          <w:sz w:val="32"/>
          <w:szCs w:val="22"/>
        </w:rPr>
        <w:t>建议制定明确的年度工作计划，对部门全部职能的履行进行计划安排。包括明确的总体目标、计划实施内容、责任主体的相关内容。</w:t>
      </w:r>
      <w:r>
        <w:rPr>
          <w:rFonts w:ascii="Times New Roman" w:eastAsia="仿宋_GB2312" w:hAnsi="Times New Roman" w:cs="Times New Roman"/>
          <w:kern w:val="0"/>
          <w:sz w:val="32"/>
          <w:szCs w:val="22"/>
        </w:rPr>
        <w:t xml:space="preserve">    </w:t>
      </w:r>
    </w:p>
    <w:p w14:paraId="58139BDB" w14:textId="77777777" w:rsidR="0096490F" w:rsidRDefault="00000000">
      <w:pPr>
        <w:widowControl/>
        <w:topLinePunct/>
        <w:adjustRightInd w:val="0"/>
        <w:snapToGrid w:val="0"/>
        <w:spacing w:line="576" w:lineRule="exact"/>
        <w:ind w:firstLineChars="200" w:firstLine="640"/>
        <w:textAlignment w:val="baseline"/>
        <w:rPr>
          <w:rFonts w:ascii="Times New Roman" w:eastAsia="仿宋_GB2312" w:hAnsi="Times New Roman" w:cs="Times New Roman"/>
          <w:kern w:val="0"/>
          <w:sz w:val="32"/>
          <w:szCs w:val="22"/>
        </w:rPr>
      </w:pPr>
      <w:r>
        <w:rPr>
          <w:rFonts w:ascii="Times New Roman" w:eastAsia="仿宋_GB2312" w:hAnsi="Times New Roman" w:cs="Times New Roman"/>
          <w:kern w:val="0"/>
          <w:sz w:val="32"/>
          <w:szCs w:val="22"/>
        </w:rPr>
        <w:t>2</w:t>
      </w:r>
      <w:r>
        <w:rPr>
          <w:rFonts w:ascii="Times New Roman" w:eastAsia="仿宋_GB2312" w:hAnsi="Times New Roman" w:cs="Times New Roman"/>
          <w:kern w:val="0"/>
          <w:sz w:val="32"/>
          <w:szCs w:val="22"/>
        </w:rPr>
        <w:t>、进一步加强预算绩效目标值设定的合理性。</w:t>
      </w:r>
    </w:p>
    <w:p w14:paraId="034EF59B" w14:textId="77777777" w:rsidR="0096490F" w:rsidRDefault="00000000">
      <w:pPr>
        <w:widowControl/>
        <w:topLinePunct/>
        <w:adjustRightInd w:val="0"/>
        <w:snapToGrid w:val="0"/>
        <w:spacing w:line="576" w:lineRule="exact"/>
        <w:ind w:firstLineChars="200" w:firstLine="640"/>
        <w:textAlignment w:val="baseline"/>
        <w:rPr>
          <w:rFonts w:ascii="Times New Roman" w:eastAsia="仿宋_GB2312" w:hAnsi="Times New Roman" w:cs="Times New Roman"/>
          <w:kern w:val="0"/>
          <w:sz w:val="32"/>
          <w:szCs w:val="22"/>
        </w:rPr>
      </w:pPr>
      <w:r>
        <w:rPr>
          <w:rFonts w:ascii="Times New Roman" w:eastAsia="仿宋_GB2312" w:hAnsi="Times New Roman" w:cs="Times New Roman"/>
          <w:kern w:val="0"/>
          <w:sz w:val="32"/>
          <w:szCs w:val="22"/>
        </w:rPr>
        <w:t>年初预算目标设定在参照上年度执行情况基础上的同时应对部门基础数据进行更加详尽的分析和预测，结合实际调研情况以及本年度资金使用规划情况，设置与本年资金支出量相匹配的绩效目标值，</w:t>
      </w:r>
      <w:r>
        <w:rPr>
          <w:rFonts w:ascii="Times New Roman" w:eastAsia="仿宋_GB2312" w:hAnsi="Times New Roman" w:cs="Times New Roman"/>
          <w:color w:val="000000"/>
          <w:kern w:val="0"/>
          <w:sz w:val="32"/>
          <w:szCs w:val="22"/>
        </w:rPr>
        <w:t>做到预算编制论证科学、标准明确，资金额度与年度目标相适应</w:t>
      </w:r>
      <w:r>
        <w:rPr>
          <w:rFonts w:ascii="Times New Roman" w:eastAsia="仿宋_GB2312" w:hAnsi="Times New Roman" w:cs="Times New Roman"/>
          <w:kern w:val="0"/>
          <w:sz w:val="32"/>
          <w:szCs w:val="22"/>
        </w:rPr>
        <w:t>。</w:t>
      </w:r>
    </w:p>
    <w:p w14:paraId="0730F502" w14:textId="77777777" w:rsidR="0096490F" w:rsidRDefault="00000000">
      <w:pPr>
        <w:widowControl/>
        <w:topLinePunct/>
        <w:adjustRightInd w:val="0"/>
        <w:snapToGrid w:val="0"/>
        <w:spacing w:line="576" w:lineRule="exact"/>
        <w:ind w:firstLineChars="200" w:firstLine="640"/>
        <w:textAlignment w:val="baseline"/>
        <w:rPr>
          <w:rFonts w:ascii="Times New Roman" w:eastAsia="仿宋" w:hAnsi="Times New Roman" w:cs="Times New Roman"/>
          <w:sz w:val="32"/>
          <w:szCs w:val="32"/>
        </w:rPr>
      </w:pPr>
      <w:r>
        <w:rPr>
          <w:rFonts w:ascii="Times New Roman" w:eastAsia="仿宋_GB2312" w:hAnsi="Times New Roman" w:cs="Times New Roman"/>
          <w:kern w:val="0"/>
          <w:sz w:val="32"/>
          <w:szCs w:val="22"/>
        </w:rPr>
        <w:t>建议对产出、效益目标设定清晰、具体，可衡量的绩效指标，以支撑部门履职的达成。</w:t>
      </w:r>
    </w:p>
    <w:p w14:paraId="7C33FBF5" w14:textId="77777777" w:rsidR="0096490F" w:rsidRDefault="00000000">
      <w:pPr>
        <w:widowControl/>
        <w:topLinePunct/>
        <w:adjustRightInd w:val="0"/>
        <w:snapToGrid w:val="0"/>
        <w:spacing w:line="576" w:lineRule="exact"/>
        <w:ind w:firstLineChars="200" w:firstLine="640"/>
        <w:textAlignment w:val="baseline"/>
        <w:rPr>
          <w:rFonts w:ascii="Times New Roman" w:eastAsia="仿宋_GB2312" w:hAnsi="Times New Roman" w:cs="Times New Roman"/>
          <w:kern w:val="0"/>
          <w:sz w:val="32"/>
          <w:szCs w:val="22"/>
        </w:rPr>
      </w:pPr>
      <w:r>
        <w:rPr>
          <w:rFonts w:ascii="Times New Roman" w:eastAsia="仿宋_GB2312" w:hAnsi="Times New Roman" w:cs="Times New Roman"/>
          <w:kern w:val="0"/>
          <w:sz w:val="32"/>
          <w:szCs w:val="22"/>
        </w:rPr>
        <w:t>3</w:t>
      </w:r>
      <w:r>
        <w:rPr>
          <w:rFonts w:ascii="Times New Roman" w:eastAsia="仿宋_GB2312" w:hAnsi="Times New Roman" w:cs="Times New Roman"/>
          <w:kern w:val="0"/>
          <w:sz w:val="32"/>
          <w:szCs w:val="22"/>
        </w:rPr>
        <w:t>、完善部门绩效目标实现的长效机制。</w:t>
      </w:r>
    </w:p>
    <w:p w14:paraId="7155D99B" w14:textId="77777777" w:rsidR="0096490F" w:rsidRDefault="00000000">
      <w:pPr>
        <w:ind w:firstLineChars="200" w:firstLine="640"/>
        <w:rPr>
          <w:rFonts w:ascii="Times New Roman" w:hAnsi="Times New Roman" w:cs="Times New Roman"/>
        </w:rPr>
      </w:pPr>
      <w:r>
        <w:rPr>
          <w:rFonts w:ascii="Times New Roman" w:eastAsia="仿宋_GB2312" w:hAnsi="Times New Roman" w:cs="Times New Roman"/>
          <w:color w:val="000000"/>
          <w:kern w:val="0"/>
          <w:sz w:val="32"/>
          <w:szCs w:val="22"/>
        </w:rPr>
        <w:t>建议制定部门预算绩效跟踪管理办法，充分发挥绩效管理制度对部门履职的保障作用。</w:t>
      </w:r>
      <w:r>
        <w:rPr>
          <w:rFonts w:ascii="Times New Roman" w:eastAsia="仿宋_GB2312" w:hAnsi="Times New Roman" w:cs="Times New Roman"/>
          <w:kern w:val="0"/>
          <w:sz w:val="32"/>
          <w:szCs w:val="22"/>
        </w:rPr>
        <w:t>建立健全部门绩效目标实现的长效机制。</w:t>
      </w:r>
    </w:p>
    <w:sectPr w:rsidR="0096490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黑体"/>
    <w:panose1 w:val="02010601030101010101"/>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DD3B7"/>
    <w:multiLevelType w:val="singleLevel"/>
    <w:tmpl w:val="041DD3B7"/>
    <w:lvl w:ilvl="0">
      <w:start w:val="3"/>
      <w:numFmt w:val="chineseCounting"/>
      <w:suff w:val="nothing"/>
      <w:lvlText w:val="%1、"/>
      <w:lvlJc w:val="left"/>
      <w:rPr>
        <w:rFonts w:hint="eastAsia"/>
      </w:rPr>
    </w:lvl>
  </w:abstractNum>
  <w:num w:numId="1" w16cid:durableId="497355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c5NGY1ZWQzMjU1NjM3OTAwNzMxY2IwYzA2Y2YwMDIifQ=="/>
  </w:docVars>
  <w:rsids>
    <w:rsidRoot w:val="0096490F"/>
    <w:rsid w:val="005305ED"/>
    <w:rsid w:val="0096490F"/>
    <w:rsid w:val="15A34C73"/>
    <w:rsid w:val="16FA6A59"/>
    <w:rsid w:val="1DE90F9E"/>
    <w:rsid w:val="2E6E6427"/>
    <w:rsid w:val="2EC9475A"/>
    <w:rsid w:val="373F63C5"/>
    <w:rsid w:val="3FCF294F"/>
    <w:rsid w:val="427E6BCD"/>
    <w:rsid w:val="4D6150C9"/>
    <w:rsid w:val="523D57F0"/>
    <w:rsid w:val="583753A8"/>
    <w:rsid w:val="61A54CA4"/>
    <w:rsid w:val="66664EDE"/>
    <w:rsid w:val="7BEE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C9EE9E"/>
  <w15:docId w15:val="{EEB9796A-7D95-44CA-AA68-5EFDBFD98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TOC1"/>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140</Words>
  <Characters>803</Characters>
  <Application>Microsoft Office Word</Application>
  <DocSecurity>0</DocSecurity>
  <Lines>6</Lines>
  <Paragraphs>1</Paragraphs>
  <ScaleCrop>false</ScaleCrop>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珘 周</cp:lastModifiedBy>
  <cp:revision>2</cp:revision>
  <dcterms:created xsi:type="dcterms:W3CDTF">2023-10-18T06:08:00Z</dcterms:created>
  <dcterms:modified xsi:type="dcterms:W3CDTF">2023-10-18T06:08:00Z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10F0F61C1A684B209F9EFA5F1BBE580A_13</vt:lpwstr>
  </property>
</Properties>
</file>